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C63D" w14:textId="77777777" w:rsidR="00ED660D" w:rsidRDefault="00967091">
      <w:pPr>
        <w:spacing w:before="40" w:after="200"/>
        <w:jc w:val="left"/>
      </w:pPr>
      <w:r>
        <w:rPr>
          <w:rFonts w:eastAsia="Calibri"/>
          <w:b/>
          <w:smallCaps/>
          <w:color w:val="2E74B5"/>
          <w:sz w:val="19"/>
        </w:rPr>
        <w:t>ARTIGO</w:t>
      </w:r>
    </w:p>
    <w:p w14:paraId="33C6BEBE" w14:textId="77777777" w:rsidR="00ED660D" w:rsidRDefault="00967091">
      <w:pPr>
        <w:keepNext/>
        <w:keepLines/>
        <w:jc w:val="left"/>
      </w:pPr>
      <w:r>
        <w:rPr>
          <w:rFonts w:eastAsia="Calibri"/>
          <w:b/>
          <w:color w:val="142D46"/>
          <w:sz w:val="54"/>
        </w:rPr>
        <w:t>A grande revolução da Inteligência Artificial na Arquitectura não é a imagem que vemos</w:t>
      </w:r>
    </w:p>
    <w:p w14:paraId="6A905BC8" w14:textId="77777777" w:rsidR="00ED660D" w:rsidRDefault="00967091">
      <w:pPr>
        <w:keepNext/>
        <w:spacing w:after="200"/>
        <w:jc w:val="left"/>
      </w:pPr>
      <w:r>
        <w:rPr>
          <w:rFonts w:eastAsia="Calibri"/>
          <w:i/>
          <w:color w:val="5A646E"/>
          <w:sz w:val="26"/>
        </w:rPr>
        <w:t>Depois da geração de imagens, chegam os agentes capazes de trabalhar com modelos, dados e ferramentas de projecto</w:t>
      </w:r>
    </w:p>
    <w:p w14:paraId="3F1E02EA" w14:textId="77777777" w:rsidR="00ED660D" w:rsidRDefault="00967091">
      <w:pPr>
        <w:keepNext/>
        <w:spacing w:after="280"/>
        <w:jc w:val="left"/>
      </w:pPr>
      <w:r>
        <w:rPr>
          <w:rFonts w:eastAsia="Calibri"/>
          <w:b/>
          <w:color w:val="2E74B5"/>
          <w:sz w:val="21"/>
        </w:rPr>
        <w:t>Rui Coelho da Silva | 18 de agosto de 2026</w:t>
      </w:r>
    </w:p>
    <w:p w14:paraId="7D629D20" w14:textId="77777777" w:rsidR="00ED660D" w:rsidRDefault="00967091">
      <w:pPr>
        <w:pStyle w:val="ArticleLead"/>
      </w:pPr>
      <w:r>
        <w:rPr>
          <w:rFonts w:eastAsia="Calibri"/>
        </w:rPr>
        <w:t>Durante os últimos três anos, falar de Inteligência Artificial na Arquitectura foi, quase sempre, falar de imagens. Edifícios improváveis, interiores perfeitos e cidades inteiras surgiam em segundos a partir de uma frase. A tecnologia impressionava, mas permanecia sobretudo na superfície do projecto.</w:t>
      </w:r>
    </w:p>
    <w:p w14:paraId="4B32D7D3" w14:textId="77777777" w:rsidR="00ED660D" w:rsidRDefault="00967091">
      <w:pPr>
        <w:keepLines/>
      </w:pPr>
      <w:r>
        <w:rPr>
          <w:rFonts w:eastAsia="Calibri"/>
        </w:rPr>
        <w:t>Essa fase não terminou. Mas já deixou de representar a principal novidade.</w:t>
      </w:r>
    </w:p>
    <w:p w14:paraId="788E9596" w14:textId="77777777" w:rsidR="00ED660D" w:rsidRDefault="00967091">
      <w:pPr>
        <w:keepLines/>
      </w:pPr>
      <w:r>
        <w:rPr>
          <w:rFonts w:eastAsia="Calibri"/>
        </w:rPr>
        <w:t xml:space="preserve">A mudança verdadeiramente importante começou quando a Inteligência Artificial deixou de se limitar a imaginar a aparência de um edifício e passou a poder trabalhar com a informação que o define. Em 2026, começaram a chegar ao mercado sistemas de Agentic AI ligados ao BIM, às plataformas de colaboração e às ferramentas utilizadas diariamente por arquitectos, engenheiros e construtores. Já não estamos apenas perante uma máquina que produz uma imagem. Estamos perante agentes capazes de consultar documentação, </w:t>
      </w:r>
      <w:r>
        <w:rPr>
          <w:rFonts w:eastAsia="Calibri"/>
        </w:rPr>
        <w:t>interpretar dados do modelo, procurar incompatibilidades, calcular quantidades, chamar aplicações especializadas e executar sequências de tarefas sob supervisão humana.</w:t>
      </w:r>
    </w:p>
    <w:p w14:paraId="110D96D4" w14:textId="77777777" w:rsidR="00ED660D" w:rsidRDefault="00967091">
      <w:pPr>
        <w:pStyle w:val="Ttulo2"/>
      </w:pPr>
      <w:r>
        <w:t>Da imagem ao agente</w:t>
      </w:r>
    </w:p>
    <w:p w14:paraId="515FF5E4" w14:textId="77777777" w:rsidR="00ED660D" w:rsidRDefault="00967091">
      <w:pPr>
        <w:keepLines/>
      </w:pPr>
      <w:r>
        <w:rPr>
          <w:rFonts w:eastAsia="Calibri"/>
        </w:rPr>
        <w:t>Um modelo de geração de imagens responde a um pedido e produz uma representação visual. Um agente de IA pode receber um objectivo, decompor esse objectivo em tarefas, escolher ferramentas, consultar informação e devolver um resultado fundamentado no contexto do projecto.</w:t>
      </w:r>
    </w:p>
    <w:p w14:paraId="6969127A" w14:textId="77777777" w:rsidR="00ED660D" w:rsidRDefault="00967091">
      <w:pPr>
        <w:keepLines/>
      </w:pPr>
      <w:r>
        <w:rPr>
          <w:rFonts w:eastAsia="Calibri"/>
        </w:rPr>
        <w:lastRenderedPageBreak/>
        <w:t>É aqui que o Model Context Protocol, conhecido por MCP, ganha relevância. O MCP funciona como uma ponte normalizada entre a Inteligência Artificial, os dados e as aplicações. A Autodesk anunciou servidores MCP para o Revit e para a exploração de dados de modelos e, em Maio de 2026, lançou o Design and Make Marketplace, preparado para que soluções certificadas possam ser descobertas e chamadas por agentes dentro dos fluxos de trabalho [3][4]. A Graphisoft está igualmente a desenvolver uma ligação MCP aos seu</w:t>
      </w:r>
      <w:r>
        <w:rPr>
          <w:rFonts w:eastAsia="Calibri"/>
        </w:rPr>
        <w:t>s instrumentos de projecto, um Iterative Design Engine e mecanismos de Agentic AI destinados a detectar e prevenir problemas antes de estes se agravarem [5]. Entretanto, a Nemetschek concluiu, no primeiro semestre de 2026, o lançamento do Bluebeam Max, que aplica Agentic AI ao controlo de qualidade, análise documental, quantity takeoff e pesquisa inteligente em processos de pré-construção [6].</w:t>
      </w:r>
    </w:p>
    <w:p w14:paraId="7EF6CCAD" w14:textId="77777777" w:rsidR="00ED660D" w:rsidRDefault="00967091">
      <w:pPr>
        <w:keepLines/>
      </w:pPr>
      <w:r>
        <w:rPr>
          <w:rFonts w:eastAsia="Calibri"/>
        </w:rPr>
        <w:t>Isto não significa que exista já um arquitecto artificial capaz de conceber, validar e assumir a responsabilidade por um edifício. Significa algo mais concreto e, por isso, mais relevante: começam a existir agentes especializados que trabalham dentro do ecossistema digital onde o projecto é desenvolvido.</w:t>
      </w:r>
    </w:p>
    <w:p w14:paraId="5D16FA70" w14:textId="77777777" w:rsidR="00ED660D" w:rsidRDefault="00967091">
      <w:pPr>
        <w:pStyle w:val="Ttulo2"/>
      </w:pPr>
      <w:r>
        <w:t>A adopção já ultrapassou a fase experimental</w:t>
      </w:r>
    </w:p>
    <w:p w14:paraId="5592829D" w14:textId="77777777" w:rsidR="00ED660D" w:rsidRDefault="00967091">
      <w:pPr>
        <w:keepLines/>
      </w:pPr>
      <w:r>
        <w:rPr>
          <w:rFonts w:eastAsia="Calibri"/>
        </w:rPr>
        <w:t>O RIBA Artificial Intelligence Report 2026 mostra a velocidade da transformação. A percentagem de práticas de Arquitectura que utilizam IA em pelo menos alguns projectos passou de 41% em 2024 para 59% em 2025 e 74% em 2026 [1][2]. Em apenas dois anos, a utilização cresceu 33 pontos percentuais.</w:t>
      </w:r>
    </w:p>
    <w:p w14:paraId="70A99866" w14:textId="77777777" w:rsidR="00ED660D" w:rsidRDefault="00967091">
      <w:pPr>
        <w:keepLines/>
      </w:pPr>
      <w:r>
        <w:rPr>
          <w:rFonts w:eastAsia="Calibri"/>
        </w:rPr>
        <w:t>Os resultados económicos começam também a aparecer. Entre os inquiridos, 75% identificaram melhorias de produtividade e 57% declararam um retorno positivo do investimento. Mas existe um número que deve interessar especialmente a arquitectos, promotores e gestores: apenas 17% consideram que os seus projectos ficaram melhores devido à IA [2].</w:t>
      </w:r>
    </w:p>
    <w:p w14:paraId="35487951" w14:textId="77777777" w:rsidR="00ED660D" w:rsidRDefault="00967091">
      <w:pPr>
        <w:keepLines/>
      </w:pPr>
      <w:r>
        <w:rPr>
          <w:rFonts w:eastAsia="Calibri"/>
        </w:rPr>
        <w:t>A conclusão é incómoda, mas útil. A Inteligência Artificial já está a tornar a Arquitectura mais rápida. Ainda não demonstrou, na mesma proporção, que a está a tornar melhor. Produzir mais alternativas não é o mesmo que tomar melhores decisões. Reduzir o tempo de execução não substitui a compreensão do lugar, das pessoas, da função, da cultura ou da responsabilidade social de construir.</w:t>
      </w:r>
    </w:p>
    <w:p w14:paraId="3862E06F" w14:textId="77777777" w:rsidR="00ED660D" w:rsidRDefault="00967091">
      <w:pPr>
        <w:pStyle w:val="Ttulo2"/>
      </w:pPr>
      <w:r>
        <w:t>O BIM transforma a Inteligência Artificial numa ferramenta de decisão</w:t>
      </w:r>
    </w:p>
    <w:p w14:paraId="4448CB28" w14:textId="77777777" w:rsidR="00ED660D" w:rsidRDefault="00967091">
      <w:pPr>
        <w:keepLines/>
      </w:pPr>
      <w:r>
        <w:rPr>
          <w:rFonts w:eastAsia="Calibri"/>
        </w:rPr>
        <w:t>Uma imagem contém aparência. Um modelo BIM contém relações, dimensões, materiais, sistemas, fases, custos e informação que acompanha o edifício ao longo do seu ciclo de vida. Quando um agente de IA passa a trabalhar sobre esta estrutura, a sua intervenção deixa de estar limitada à visualização e aproxima-se da decisão.</w:t>
      </w:r>
    </w:p>
    <w:p w14:paraId="37A6864A" w14:textId="77777777" w:rsidR="00ED660D" w:rsidRDefault="00967091">
      <w:r>
        <w:br w:type="page"/>
      </w:r>
    </w:p>
    <w:p w14:paraId="0A7A86AC" w14:textId="77777777" w:rsidR="00ED660D" w:rsidRDefault="00967091">
      <w:pPr>
        <w:keepLines/>
      </w:pPr>
      <w:r>
        <w:rPr>
          <w:rFonts w:eastAsia="Calibri"/>
        </w:rPr>
        <w:lastRenderedPageBreak/>
        <w:t>No futuro próximo, um arquitecto poderá pedir ao sistema que compare soluções de implantação, preserve determinados níveis de luz natural, reduza carbono incorporado, verifique conflitos entre especialidades, estime consequências no custo e registe as razões de cada alteração. Algumas destas tarefas já existem de forma separada. A novidade consiste em os agentes poderem começar a coordená-las num fluxo contínuo, recorrendo a diferentes aplicações sem obrigar o profissional a transferir manualmente a informa</w:t>
      </w:r>
      <w:r>
        <w:rPr>
          <w:rFonts w:eastAsia="Calibri"/>
        </w:rPr>
        <w:t>ção entre ficheiros e plataformas.</w:t>
      </w:r>
    </w:p>
    <w:p w14:paraId="198D3A65" w14:textId="77777777" w:rsidR="00ED660D" w:rsidRDefault="00967091">
      <w:pPr>
        <w:keepLines/>
      </w:pPr>
      <w:r>
        <w:rPr>
          <w:rFonts w:eastAsia="Calibri"/>
        </w:rPr>
        <w:t>O projecto deixa, assim, de ser apenas uma sucessão de desenhos e documentos. Torna-se um ambiente vivo de decisão, onde cada opção pode ser testada mais cedo, comparada com mais variáveis e revista antes de o erro chegar à obra. Num sector que emprega cerca de 18 milhões de pessoas e representa aproximadamente 9% do produto interno bruto da União Europeia, mesmo pequenas melhorias de coordenação podem ter um impacto económico significativo [7].</w:t>
      </w:r>
    </w:p>
    <w:p w14:paraId="5A05FA39" w14:textId="77777777" w:rsidR="00ED660D" w:rsidRDefault="00967091">
      <w:pPr>
        <w:pStyle w:val="Ttulo2"/>
      </w:pPr>
      <w:r>
        <w:t>Mais produtividade exige mais Arquitectura, não menos</w:t>
      </w:r>
    </w:p>
    <w:p w14:paraId="325D4C20" w14:textId="77777777" w:rsidR="00ED660D" w:rsidRDefault="00967091">
      <w:pPr>
        <w:keepLines/>
      </w:pPr>
      <w:r>
        <w:rPr>
          <w:rFonts w:eastAsia="Calibri"/>
        </w:rPr>
        <w:t>A resposta mais fácil seria concluir que os agentes irão substituir os arquitectos. Os próprios profissionais não o entendem assim. No estudo do RIBA, 77% afirmam que a IA nunca poderá substituir a criatividade humana [2]. A questão mais importante não é, portanto, saber se o arquitecto desaparece. É perceber como muda o valor do seu trabalho.</w:t>
      </w:r>
    </w:p>
    <w:p w14:paraId="403E4549" w14:textId="77777777" w:rsidR="00ED660D" w:rsidRDefault="00967091">
      <w:pPr>
        <w:keepLines/>
      </w:pPr>
      <w:r>
        <w:rPr>
          <w:rFonts w:eastAsia="Calibri"/>
        </w:rPr>
        <w:t>Quanto mais a tecnologia automatizar desenho, pesquisa e verificação preliminar, mais importante será definir critérios, compreender compromissos, explicar decisões, assumir responsabilidade e proteger o interesse do cliente e da sociedade. O valor desloca-se da produção de cada linha para a qualidade do julgamento que orienta o conjunto.</w:t>
      </w:r>
    </w:p>
    <w:p w14:paraId="2FF4DD4F" w14:textId="77777777" w:rsidR="00ED660D" w:rsidRDefault="00967091">
      <w:pPr>
        <w:keepLines/>
      </w:pPr>
      <w:r>
        <w:rPr>
          <w:rFonts w:eastAsia="Calibri"/>
        </w:rPr>
        <w:t>Existe, contudo, um risco que não deve ser ignorado. Sessenta e um por cento dos inquiridos receiam que a IA torne mais difícil aos profissionais em início de carreira adquirir experiência e competências essenciais, enquanto 59% antecipam reduções de pessoal na profissão [2]. Muitas das tarefas repetitivas que agora podem ser automatizadas eram também a aprendizagem prática através da qual um jovem arquitecto desenvolvia rigor, atenção e capacidade de detectar erros. Um atelier que poupe horas com IA, mas n</w:t>
      </w:r>
      <w:r>
        <w:rPr>
          <w:rFonts w:eastAsia="Calibri"/>
        </w:rPr>
        <w:t>ão reinvista parte desse tempo em acompanhamento e formação, poderá ganhar produtividade no presente e perder competência no futuro.</w:t>
      </w:r>
    </w:p>
    <w:p w14:paraId="5FDAE6BB" w14:textId="77777777" w:rsidR="00ED660D" w:rsidRDefault="00967091">
      <w:pPr>
        <w:pStyle w:val="Ttulo2"/>
      </w:pPr>
      <w:r>
        <w:t>O que deve fazer agora um atelier de Arquitectura?</w:t>
      </w:r>
    </w:p>
    <w:p w14:paraId="6BD27543" w14:textId="77777777" w:rsidR="00ED660D" w:rsidRDefault="00967091">
      <w:pPr>
        <w:keepLines/>
      </w:pPr>
      <w:r>
        <w:rPr>
          <w:rFonts w:eastAsia="Calibri"/>
        </w:rPr>
        <w:t>O primeiro passo não é comprar mais uma aplicação. É identificar os dados, os fluxos e as decisões que exigem validação profissional. Depois, importa testar um processo de baixo risco, medindo tempo poupado, erros detectados, retrabalho evitado e qualidade do resultado.</w:t>
      </w:r>
    </w:p>
    <w:p w14:paraId="03E989AC" w14:textId="77777777" w:rsidR="00ED660D" w:rsidRDefault="00967091">
      <w:r>
        <w:br w:type="page"/>
      </w:r>
    </w:p>
    <w:p w14:paraId="3153488D" w14:textId="77777777" w:rsidR="00ED660D" w:rsidRDefault="00967091">
      <w:pPr>
        <w:pStyle w:val="Ttulo2"/>
      </w:pPr>
      <w:r>
        <w:lastRenderedPageBreak/>
        <w:t>A governação torna-se parte do projecto</w:t>
      </w:r>
    </w:p>
    <w:p w14:paraId="6313247C" w14:textId="77777777" w:rsidR="00ED660D" w:rsidRDefault="00967091">
      <w:pPr>
        <w:keepLines/>
      </w:pPr>
      <w:r>
        <w:rPr>
          <w:rFonts w:eastAsia="Calibri"/>
        </w:rPr>
        <w:t>Cada atelier deve definir regras sobre confidencialidade, propriedade intelectual, permissões de acesso, registo das intervenções e aprovação humana. Um agente que consulta o modelo e executa tarefas pode criar muito mais valor do que um chatbot isolado. Também exige uma governação muito mais rigorosa.</w:t>
      </w:r>
    </w:p>
    <w:p w14:paraId="706B8C06" w14:textId="77777777" w:rsidR="00ED660D" w:rsidRDefault="00967091">
      <w:pPr>
        <w:pStyle w:val="Ttulo2"/>
      </w:pPr>
      <w:r>
        <w:t>A próxima vantagem competitiva</w:t>
      </w:r>
    </w:p>
    <w:p w14:paraId="68E7C05B" w14:textId="77777777" w:rsidR="00ED660D" w:rsidRDefault="00967091">
      <w:pPr>
        <w:keepLines/>
      </w:pPr>
      <w:r>
        <w:rPr>
          <w:rFonts w:eastAsia="Calibri"/>
        </w:rPr>
        <w:t>A próxima vantagem competitiva na Arquitectura não será produzir a imagem mais espectacular. Será conseguir transformar informação dispersa em decisões mais rápidas, transparentes e responsáveis.</w:t>
      </w:r>
    </w:p>
    <w:p w14:paraId="1DCB5EC5" w14:textId="77777777" w:rsidR="00ED660D" w:rsidRDefault="00967091">
      <w:pPr>
        <w:keepLines/>
      </w:pPr>
      <w:r>
        <w:rPr>
          <w:rFonts w:eastAsia="Calibri"/>
        </w:rPr>
        <w:t>A Inteligência Artificial pode ampliar a capacidade de explorar alternativas, antecipar conflitos e compreender as consequências de uma escolha. Mas não conhece, por si só, o significado de um lugar, a memória de uma comunidade ou a experiência humana de habitar. Pode calcular possibilidades. Cabe ao arquitecto decidir quais merecem existir.</w:t>
      </w:r>
    </w:p>
    <w:p w14:paraId="1DFF5AC6" w14:textId="77777777" w:rsidR="00ED660D" w:rsidRDefault="00967091">
      <w:pPr>
        <w:keepLines/>
      </w:pPr>
      <w:r>
        <w:rPr>
          <w:rFonts w:eastAsia="Calibri"/>
        </w:rPr>
        <w:t>O atelier do futuro não será aquele que utiliza mais prompts. Será aquele que conseguir reunir profissionais, conhecimento, BIM e agentes de IA num sistema em que a tecnologia acelera o trabalho, mas a Arquitectura continua a orientar o resultado.</w:t>
      </w:r>
    </w:p>
    <w:p w14:paraId="684A220A" w14:textId="77777777" w:rsidR="00ED660D" w:rsidRDefault="00967091">
      <w:pPr>
        <w:keepLines/>
        <w:spacing w:before="240" w:after="280"/>
        <w:jc w:val="left"/>
      </w:pPr>
      <w:r>
        <w:rPr>
          <w:rFonts w:eastAsia="Calibri"/>
          <w:color w:val="2E74B5"/>
          <w:sz w:val="19"/>
        </w:rPr>
        <w:t>#InteligênciaArtificial #Arquitectura #BIM #AgenticAI #Inovação #TransformaçãoDigital #Gestão #Construção #VentureUniversal #UniversidadeEuropeia #PósGraduaçãoInteligênciaArtificialParaNegócios #PGIA4Business #RuiCoelhodaSilva</w:t>
      </w:r>
    </w:p>
    <w:p w14:paraId="7F08B7BD" w14:textId="77777777" w:rsidR="00ED660D" w:rsidRDefault="00967091">
      <w:pPr>
        <w:keepNext/>
        <w:spacing w:before="160" w:after="40"/>
        <w:jc w:val="left"/>
      </w:pPr>
      <w:r>
        <w:rPr>
          <w:rFonts w:eastAsia="Calibri"/>
          <w:b/>
          <w:color w:val="142D46"/>
        </w:rPr>
        <w:t>Rui Coelho da Silva</w:t>
      </w:r>
    </w:p>
    <w:p w14:paraId="0C7DD343" w14:textId="77777777" w:rsidR="00ED660D" w:rsidRDefault="00967091">
      <w:pPr>
        <w:keepLines/>
        <w:spacing w:after="240" w:line="269" w:lineRule="auto"/>
        <w:jc w:val="left"/>
      </w:pPr>
      <w:r>
        <w:rPr>
          <w:rFonts w:eastAsia="Calibri"/>
          <w:i/>
          <w:color w:val="5A646E"/>
          <w:sz w:val="19"/>
        </w:rPr>
        <w:t>Autor do Estudo "O que os Diretores Gerais das Grandes Empresas Querem saber sobre Inteligência Artificial"; Coordenador da Pós-Graduação de IA para Negócios desde 2023; Empreendedor; Especialista de IA aplicada às organizações.</w:t>
      </w:r>
    </w:p>
    <w:p w14:paraId="521E5FB8" w14:textId="77777777" w:rsidR="00ED660D" w:rsidRDefault="00967091">
      <w:r>
        <w:br w:type="page"/>
      </w:r>
    </w:p>
    <w:p w14:paraId="724B0064" w14:textId="77777777" w:rsidR="00ED660D" w:rsidRDefault="00967091">
      <w:pPr>
        <w:pStyle w:val="Ttulo2"/>
      </w:pPr>
      <w:r>
        <w:lastRenderedPageBreak/>
        <w:t>Referências</w:t>
      </w:r>
    </w:p>
    <w:p w14:paraId="425AE168" w14:textId="77777777" w:rsidR="00ED660D" w:rsidRDefault="00967091">
      <w:pPr>
        <w:spacing w:after="200"/>
      </w:pPr>
      <w:r>
        <w:rPr>
          <w:rFonts w:eastAsia="Calibri"/>
          <w:i/>
          <w:color w:val="5A646E"/>
          <w:sz w:val="18"/>
        </w:rPr>
        <w:t>As chamadas numéricas no texto remetem para as fontes abaixo. As referências e os endereços são apresentados em texto simples, sem ligações interactivas.</w:t>
      </w:r>
    </w:p>
    <w:p w14:paraId="33862DF8" w14:textId="77777777" w:rsidR="00ED660D" w:rsidRDefault="00967091">
      <w:pPr>
        <w:pStyle w:val="Reference"/>
        <w:keepLines/>
      </w:pPr>
      <w:r>
        <w:rPr>
          <w:rFonts w:eastAsia="Calibri"/>
          <w:b/>
          <w:color w:val="142D46"/>
        </w:rPr>
        <w:t xml:space="preserve">[1] </w:t>
      </w:r>
      <w:r>
        <w:rPr>
          <w:rFonts w:eastAsia="Calibri"/>
        </w:rPr>
        <w:t>Royal Institute of British Architects, RIBA Artificial Intelligence Report 2026, 21 de Julho de 2026.</w:t>
      </w:r>
      <w:r>
        <w:rPr>
          <w:rFonts w:eastAsia="Calibri"/>
          <w:color w:val="5A646E"/>
          <w:sz w:val="17"/>
        </w:rPr>
        <w:br/>
      </w:r>
      <w:r>
        <w:rPr>
          <w:rFonts w:eastAsia="Calibri"/>
          <w:color w:val="5A646E"/>
          <w:sz w:val="17"/>
        </w:rPr>
        <w:t>https://www.riba.org/media/gepfk5c5/riba-artificial-intelligence-report-2026.pdf</w:t>
      </w:r>
    </w:p>
    <w:p w14:paraId="3D9E5F1B" w14:textId="77777777" w:rsidR="00ED660D" w:rsidRDefault="00967091">
      <w:pPr>
        <w:pStyle w:val="Reference"/>
        <w:keepLines/>
      </w:pPr>
      <w:r>
        <w:rPr>
          <w:rFonts w:eastAsia="Calibri"/>
          <w:b/>
          <w:color w:val="142D46"/>
        </w:rPr>
        <w:t xml:space="preserve">[2] </w:t>
      </w:r>
      <w:r>
        <w:rPr>
          <w:rFonts w:eastAsia="Calibri"/>
        </w:rPr>
        <w:t>Royal Institute of British Architects, AI adoption reaches tipping point across UK architecture, 22 de Julho de 2026.</w:t>
      </w:r>
      <w:r>
        <w:rPr>
          <w:rFonts w:eastAsia="Calibri"/>
          <w:color w:val="5A646E"/>
          <w:sz w:val="17"/>
        </w:rPr>
        <w:br/>
        <w:t>https://www.riba.org/news/ai-adoption-reaches-tipping-point-across-uk-architecture/</w:t>
      </w:r>
    </w:p>
    <w:p w14:paraId="7FB36ABE" w14:textId="77777777" w:rsidR="00ED660D" w:rsidRDefault="00967091">
      <w:pPr>
        <w:pStyle w:val="Reference"/>
        <w:keepLines/>
      </w:pPr>
      <w:r>
        <w:rPr>
          <w:rFonts w:eastAsia="Calibri"/>
          <w:b/>
          <w:color w:val="142D46"/>
        </w:rPr>
        <w:t xml:space="preserve">[3] </w:t>
      </w:r>
      <w:r>
        <w:rPr>
          <w:rFonts w:eastAsia="Calibri"/>
        </w:rPr>
        <w:t>Autodesk, The 3 biggest Autodesk AI takeaways from AU 2025, 16 de Setembro de 2025.</w:t>
      </w:r>
      <w:r>
        <w:rPr>
          <w:rFonts w:eastAsia="Calibri"/>
          <w:color w:val="5A646E"/>
          <w:sz w:val="17"/>
        </w:rPr>
        <w:br/>
        <w:t>https://adsknews.autodesk.com/en/news/the-3-biggest-autodesk-ai-takeaways-from-au-2025/</w:t>
      </w:r>
    </w:p>
    <w:p w14:paraId="2112F65C" w14:textId="77777777" w:rsidR="00ED660D" w:rsidRDefault="00967091">
      <w:pPr>
        <w:pStyle w:val="Reference"/>
        <w:keepLines/>
      </w:pPr>
      <w:r>
        <w:rPr>
          <w:rFonts w:eastAsia="Calibri"/>
          <w:b/>
          <w:color w:val="142D46"/>
        </w:rPr>
        <w:t xml:space="preserve">[4] </w:t>
      </w:r>
      <w:r>
        <w:rPr>
          <w:rFonts w:eastAsia="Calibri"/>
        </w:rPr>
        <w:t>Autodesk Platform Services, Design and Make Marketplace: Where Your Solutions Meet Industry Agentic AI Workflows, 11 de Maio de 2026.</w:t>
      </w:r>
      <w:r>
        <w:rPr>
          <w:rFonts w:eastAsia="Calibri"/>
          <w:color w:val="5A646E"/>
          <w:sz w:val="17"/>
        </w:rPr>
        <w:br/>
        <w:t>https://aps.autodesk.com/blog/design-and-make-marketplace-where-your-solutions-meet-industry-agentic-ai-workflows</w:t>
      </w:r>
    </w:p>
    <w:p w14:paraId="6F81DA4C" w14:textId="77777777" w:rsidR="00ED660D" w:rsidRDefault="00967091">
      <w:pPr>
        <w:pStyle w:val="Reference"/>
        <w:keepLines/>
      </w:pPr>
      <w:r>
        <w:rPr>
          <w:rFonts w:eastAsia="Calibri"/>
          <w:b/>
          <w:color w:val="142D46"/>
        </w:rPr>
        <w:t xml:space="preserve">[5] </w:t>
      </w:r>
      <w:r>
        <w:rPr>
          <w:rFonts w:eastAsia="Calibri"/>
        </w:rPr>
        <w:t>Graphisoft, Design Intelligence Strategy, consultado em 18 de Agosto de 2026.</w:t>
      </w:r>
      <w:r>
        <w:rPr>
          <w:rFonts w:eastAsia="Calibri"/>
          <w:color w:val="5A646E"/>
          <w:sz w:val="17"/>
        </w:rPr>
        <w:br/>
        <w:t>https://www.graphisoft.com/en-pa/company/design-intelligence-strategy/</w:t>
      </w:r>
    </w:p>
    <w:p w14:paraId="63A07C42" w14:textId="77777777" w:rsidR="00ED660D" w:rsidRDefault="00967091">
      <w:pPr>
        <w:pStyle w:val="Reference"/>
        <w:keepLines/>
      </w:pPr>
      <w:r>
        <w:rPr>
          <w:rFonts w:eastAsia="Calibri"/>
          <w:b/>
          <w:color w:val="142D46"/>
        </w:rPr>
        <w:t xml:space="preserve">[6] </w:t>
      </w:r>
      <w:r>
        <w:rPr>
          <w:rFonts w:eastAsia="Calibri"/>
        </w:rPr>
        <w:t>Nemetschek Group, Successful First Half of 2026 with Continued Strong Profitable Growth, 30 de Julho de 2026.</w:t>
      </w:r>
      <w:r>
        <w:rPr>
          <w:rFonts w:eastAsia="Calibri"/>
          <w:color w:val="5A646E"/>
          <w:sz w:val="17"/>
        </w:rPr>
        <w:br/>
        <w:t>https://www.nemetschek.com/en/news-media/successful-first-half-2026</w:t>
      </w:r>
    </w:p>
    <w:p w14:paraId="1ECBEA7D" w14:textId="77777777" w:rsidR="00ED660D" w:rsidRDefault="00967091">
      <w:pPr>
        <w:pStyle w:val="Reference"/>
        <w:keepLines/>
      </w:pPr>
      <w:r>
        <w:rPr>
          <w:rFonts w:eastAsia="Calibri"/>
          <w:b/>
          <w:color w:val="142D46"/>
        </w:rPr>
        <w:t xml:space="preserve">[7] </w:t>
      </w:r>
      <w:r>
        <w:rPr>
          <w:rFonts w:eastAsia="Calibri"/>
        </w:rPr>
        <w:t>European Commission, BUILD UP, Building the future: How digitalisation and artificial intelligence are reshaping the competitiveness of the construction sector, 1 de Abril de 2025.</w:t>
      </w:r>
      <w:r>
        <w:rPr>
          <w:rFonts w:eastAsia="Calibri"/>
          <w:color w:val="5A646E"/>
          <w:sz w:val="17"/>
        </w:rPr>
        <w:br/>
        <w:t>https://build-up.ec.europa.eu/en/resources-and-tools/articles/digitalisation-and-AI-reshaping-competitiveness-construction-sector</w:t>
      </w:r>
    </w:p>
    <w:sectPr w:rsidR="00ED660D" w:rsidSect="000346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29BD" w14:textId="77777777" w:rsidR="00967091" w:rsidRDefault="00967091">
      <w:pPr>
        <w:spacing w:after="0" w:line="240" w:lineRule="auto"/>
      </w:pPr>
      <w:r>
        <w:separator/>
      </w:r>
    </w:p>
  </w:endnote>
  <w:endnote w:type="continuationSeparator" w:id="0">
    <w:p w14:paraId="7A905CC3" w14:textId="77777777" w:rsidR="00967091" w:rsidRDefault="0096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0195" w14:textId="77777777" w:rsidR="00ED660D" w:rsidRDefault="00967091">
    <w:pPr>
      <w:pStyle w:val="Rodap"/>
      <w:jc w:val="right"/>
    </w:pPr>
    <w:r>
      <w:rPr>
        <w:rFonts w:eastAsia="Calibri"/>
        <w:color w:val="5A646E"/>
        <w:sz w:val="18"/>
      </w:rPr>
      <w:fldChar w:fldCharType="begin"/>
    </w:r>
    <w:r>
      <w:rPr>
        <w:rFonts w:eastAsia="Calibri"/>
        <w:color w:val="5A646E"/>
        <w:sz w:val="18"/>
      </w:rPr>
      <w:instrText xml:space="preserve"> PAGE </w:instrText>
    </w:r>
    <w:r w:rsidR="00134A56">
      <w:rPr>
        <w:rFonts w:eastAsia="Calibri"/>
        <w:color w:val="5A646E"/>
        <w:sz w:val="18"/>
      </w:rPr>
      <w:fldChar w:fldCharType="separate"/>
    </w:r>
    <w:r w:rsidR="00134A56">
      <w:rPr>
        <w:rFonts w:eastAsia="Calibri"/>
        <w:noProof/>
        <w:color w:val="5A646E"/>
        <w:sz w:val="18"/>
      </w:rPr>
      <w:t>2</w:t>
    </w:r>
    <w:r>
      <w:rPr>
        <w:rFonts w:eastAsia="Calibri"/>
        <w:color w:val="5A646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F5AB" w14:textId="77777777" w:rsidR="00ED660D" w:rsidRDefault="00967091">
    <w:pPr>
      <w:pStyle w:val="Rodap"/>
      <w:jc w:val="right"/>
    </w:pPr>
    <w:r>
      <w:rPr>
        <w:rFonts w:eastAsia="Calibri"/>
        <w:color w:val="5A646E"/>
        <w:sz w:val="18"/>
      </w:rPr>
      <w:fldChar w:fldCharType="begin"/>
    </w:r>
    <w:r>
      <w:rPr>
        <w:rFonts w:eastAsia="Calibri"/>
        <w:color w:val="5A646E"/>
        <w:sz w:val="18"/>
      </w:rPr>
      <w:instrText xml:space="preserve"> PAGE </w:instrText>
    </w:r>
    <w:r w:rsidR="00134A56">
      <w:rPr>
        <w:rFonts w:eastAsia="Calibri"/>
        <w:color w:val="5A646E"/>
        <w:sz w:val="18"/>
      </w:rPr>
      <w:fldChar w:fldCharType="separate"/>
    </w:r>
    <w:r w:rsidR="00134A56">
      <w:rPr>
        <w:rFonts w:eastAsia="Calibri"/>
        <w:noProof/>
        <w:color w:val="5A646E"/>
        <w:sz w:val="18"/>
      </w:rPr>
      <w:t>1</w:t>
    </w:r>
    <w:r>
      <w:rPr>
        <w:rFonts w:eastAsia="Calibri"/>
        <w:color w:val="5A646E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46765" w14:textId="77777777" w:rsidR="00967091" w:rsidRDefault="00967091">
      <w:pPr>
        <w:spacing w:after="0" w:line="240" w:lineRule="auto"/>
      </w:pPr>
      <w:r>
        <w:separator/>
      </w:r>
    </w:p>
  </w:footnote>
  <w:footnote w:type="continuationSeparator" w:id="0">
    <w:p w14:paraId="26862D15" w14:textId="77777777" w:rsidR="00967091" w:rsidRDefault="0096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EB1B" w14:textId="77777777" w:rsidR="00ED660D" w:rsidRDefault="00967091">
    <w:pPr>
      <w:pStyle w:val="Cabealho"/>
      <w:jc w:val="left"/>
    </w:pPr>
    <w:r>
      <w:rPr>
        <w:rFonts w:eastAsia="Calibri"/>
        <w:b/>
        <w:color w:val="5A646E"/>
        <w:sz w:val="17"/>
      </w:rPr>
      <w:t>ARTIGO | INTELIGÊNCIA ARTIFICIAL E ARQUITECTURA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05EA" w14:textId="77777777" w:rsidR="00ED660D" w:rsidRDefault="00ED66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3530551">
    <w:abstractNumId w:val="8"/>
  </w:num>
  <w:num w:numId="2" w16cid:durableId="1561014587">
    <w:abstractNumId w:val="6"/>
  </w:num>
  <w:num w:numId="3" w16cid:durableId="1658655971">
    <w:abstractNumId w:val="5"/>
  </w:num>
  <w:num w:numId="4" w16cid:durableId="1446341317">
    <w:abstractNumId w:val="4"/>
  </w:num>
  <w:num w:numId="5" w16cid:durableId="489103964">
    <w:abstractNumId w:val="7"/>
  </w:num>
  <w:num w:numId="6" w16cid:durableId="1576935406">
    <w:abstractNumId w:val="3"/>
  </w:num>
  <w:num w:numId="7" w16cid:durableId="2145846317">
    <w:abstractNumId w:val="2"/>
  </w:num>
  <w:num w:numId="8" w16cid:durableId="1097405331">
    <w:abstractNumId w:val="1"/>
  </w:num>
  <w:num w:numId="9" w16cid:durableId="189546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4A56"/>
    <w:rsid w:val="0015074B"/>
    <w:rsid w:val="0029639D"/>
    <w:rsid w:val="00326F90"/>
    <w:rsid w:val="00967091"/>
    <w:rsid w:val="00A270CB"/>
    <w:rsid w:val="00AA1D8D"/>
    <w:rsid w:val="00B47730"/>
    <w:rsid w:val="00CB0664"/>
    <w:rsid w:val="00ED66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08D98"/>
  <w14:defaultImageDpi w14:val="300"/>
  <w15:docId w15:val="{18C8831D-90F0-46DF-990C-86F3E102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60" w:line="320" w:lineRule="auto"/>
      <w:jc w:val="both"/>
    </w:pPr>
    <w:rPr>
      <w:rFonts w:ascii="Calibri" w:hAnsi="Calibri"/>
      <w:color w:val="000000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40" w:after="12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Lead">
    <w:name w:val="Article Lead"/>
    <w:basedOn w:val="Normal"/>
    <w:pPr>
      <w:keepLines/>
      <w:spacing w:before="80" w:after="280" w:line="300" w:lineRule="auto"/>
      <w:jc w:val="left"/>
    </w:pPr>
    <w:rPr>
      <w:i/>
      <w:color w:val="142D46"/>
      <w:sz w:val="24"/>
    </w:rPr>
  </w:style>
  <w:style w:type="paragraph" w:customStyle="1" w:styleId="Reference">
    <w:name w:val="Reference"/>
    <w:basedOn w:val="Normal"/>
    <w:pPr>
      <w:spacing w:after="120" w:line="252" w:lineRule="auto"/>
      <w:ind w:left="461" w:hanging="461"/>
      <w:jc w:val="left"/>
    </w:pPr>
    <w:rPr>
      <w:color w:val="2D2D2D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1604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grande revolução da Inteligência Artificial na Arquitectura não é a imagem que vemos</dc:title>
  <dc:subject>Inteligência Artificial, Arquitectura, BIM e Agentic AI</dc:subject>
  <dc:creator>Rui Coelho da Silva</dc:creator>
  <cp:keywords>Inteligência Artificial; Arquitectura; BIM; Agentic AI; inovação; gestão</cp:keywords>
  <dc:description>Artigo de opinião fundamentado em fontes públicas.</dc:description>
  <cp:lastModifiedBy>Rui Coelho da Silva</cp:lastModifiedBy>
  <cp:revision>2</cp:revision>
  <dcterms:created xsi:type="dcterms:W3CDTF">2026-08-19T14:58:00Z</dcterms:created>
  <dcterms:modified xsi:type="dcterms:W3CDTF">2026-08-19T14:58:00Z</dcterms:modified>
  <cp:category/>
</cp:coreProperties>
</file>